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760C0" w14:textId="0983EE23" w:rsidR="00DF3EDA" w:rsidRDefault="007848B7">
      <w:pPr>
        <w:pStyle w:val="Textkrper"/>
        <w:spacing w:before="4"/>
        <w:rPr>
          <w:rFonts w:ascii="Times New Roman"/>
          <w:sz w:val="11"/>
        </w:rPr>
      </w:pPr>
      <w:r>
        <w:rPr>
          <w:noProof/>
          <w:lang w:val="en-US"/>
        </w:rPr>
        <w:drawing>
          <wp:anchor distT="0" distB="0" distL="0" distR="0" simplePos="0" relativeHeight="251658240" behindDoc="0" locked="0" layoutInCell="1" allowOverlap="1" wp14:anchorId="45AD1287" wp14:editId="116AF01F">
            <wp:simplePos x="0" y="0"/>
            <wp:positionH relativeFrom="page">
              <wp:posOffset>914749</wp:posOffset>
            </wp:positionH>
            <wp:positionV relativeFrom="paragraph">
              <wp:posOffset>-257479</wp:posOffset>
            </wp:positionV>
            <wp:extent cx="1663699" cy="1072514"/>
            <wp:effectExtent l="0" t="0" r="0" b="0"/>
            <wp:wrapNone/>
            <wp:docPr id="3" name="Image 3" descr="A blue and white sign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white sign  Description automatically generated "/>
                    <pic:cNvPicPr/>
                  </pic:nvPicPr>
                  <pic:blipFill>
                    <a:blip r:embed="rId7" cstate="print"/>
                    <a:stretch>
                      <a:fillRect/>
                    </a:stretch>
                  </pic:blipFill>
                  <pic:spPr>
                    <a:xfrm>
                      <a:off x="0" y="0"/>
                      <a:ext cx="1663699" cy="1072514"/>
                    </a:xfrm>
                    <a:prstGeom prst="rect">
                      <a:avLst/>
                    </a:prstGeom>
                  </pic:spPr>
                </pic:pic>
              </a:graphicData>
            </a:graphic>
          </wp:anchor>
        </w:drawing>
      </w:r>
      <w:r>
        <w:rPr>
          <w:rFonts w:ascii="Times New Roman"/>
          <w:noProof/>
          <w:sz w:val="20"/>
          <w:lang w:val="en-US"/>
        </w:rPr>
        <w:drawing>
          <wp:anchor distT="0" distB="0" distL="114300" distR="114300" simplePos="0" relativeHeight="251658241" behindDoc="0" locked="0" layoutInCell="1" allowOverlap="1" wp14:anchorId="4C8244F3" wp14:editId="4E19D265">
            <wp:simplePos x="0" y="0"/>
            <wp:positionH relativeFrom="column">
              <wp:posOffset>3973664</wp:posOffset>
            </wp:positionH>
            <wp:positionV relativeFrom="paragraph">
              <wp:posOffset>-198285</wp:posOffset>
            </wp:positionV>
            <wp:extent cx="2169458" cy="645414"/>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458" cy="645414"/>
                    </a:xfrm>
                    <a:prstGeom prst="rect">
                      <a:avLst/>
                    </a:prstGeom>
                  </pic:spPr>
                </pic:pic>
              </a:graphicData>
            </a:graphic>
          </wp:anchor>
        </w:drawing>
      </w:r>
    </w:p>
    <w:p w14:paraId="78878AAD" w14:textId="4F170619" w:rsidR="00DF3EDA" w:rsidRDefault="00DF3EDA" w:rsidP="007848B7">
      <w:pPr>
        <w:pStyle w:val="Textkrper"/>
        <w:ind w:left="360" w:right="360"/>
        <w:rPr>
          <w:rFonts w:ascii="Times New Roman"/>
          <w:sz w:val="20"/>
        </w:rPr>
      </w:pPr>
    </w:p>
    <w:p w14:paraId="0B1EB97F" w14:textId="77777777" w:rsidR="007848B7" w:rsidRDefault="007848B7" w:rsidP="007848B7">
      <w:pPr>
        <w:pStyle w:val="berschrift1"/>
        <w:spacing w:before="238"/>
        <w:ind w:left="360" w:right="360"/>
        <w:jc w:val="right"/>
      </w:pPr>
    </w:p>
    <w:p w14:paraId="02E00264" w14:textId="2553638C" w:rsidR="00DF3EDA" w:rsidRDefault="00B15C37" w:rsidP="007848B7">
      <w:pPr>
        <w:pStyle w:val="berschrift1"/>
        <w:spacing w:before="238"/>
        <w:ind w:left="360" w:right="360"/>
        <w:jc w:val="right"/>
      </w:pPr>
      <w:r>
        <w:t>Support Media :</w:t>
      </w:r>
    </w:p>
    <w:p w14:paraId="66C86D66" w14:textId="77777777" w:rsidR="00DF3EDA" w:rsidRDefault="00DF3EDA" w:rsidP="007848B7">
      <w:pPr>
        <w:pStyle w:val="Textkrper"/>
        <w:ind w:left="360" w:right="360"/>
        <w:rPr>
          <w:b/>
        </w:rPr>
      </w:pPr>
    </w:p>
    <w:p w14:paraId="3219CF4E" w14:textId="77777777" w:rsidR="00DF3EDA" w:rsidRPr="00D36DCF" w:rsidRDefault="00B15C37" w:rsidP="007848B7">
      <w:pPr>
        <w:pStyle w:val="Textkrper"/>
        <w:spacing w:line="252" w:lineRule="exact"/>
        <w:ind w:left="360" w:right="360"/>
        <w:jc w:val="right"/>
      </w:pPr>
      <w:r w:rsidRPr="00D36DCF">
        <w:t>Chushu Wu</w:t>
      </w:r>
    </w:p>
    <w:p w14:paraId="2332A75F" w14:textId="77777777" w:rsidR="00DF3EDA" w:rsidRPr="00D36DCF" w:rsidRDefault="00B15C37" w:rsidP="007848B7">
      <w:pPr>
        <w:pStyle w:val="Textkrper"/>
        <w:spacing w:line="252" w:lineRule="exact"/>
        <w:ind w:left="360" w:right="360"/>
        <w:jc w:val="right"/>
      </w:pPr>
      <w:r w:rsidRPr="00D36DCF">
        <w:t>+32 491 34 80 98</w:t>
      </w:r>
    </w:p>
    <w:p w14:paraId="694BBEA7" w14:textId="77777777" w:rsidR="00DF3EDA" w:rsidRPr="00D36DCF" w:rsidRDefault="00D36DCF" w:rsidP="007848B7">
      <w:pPr>
        <w:pStyle w:val="Textkrper"/>
        <w:spacing w:line="252" w:lineRule="exact"/>
        <w:ind w:left="360" w:right="360"/>
        <w:jc w:val="right"/>
      </w:pPr>
      <w:r>
        <w:rPr>
          <w:color w:val="13099A"/>
          <w:u w:val="single" w:color="13099A"/>
          <w:lang w:val="de-DE"/>
        </w:rPr>
        <w:fldChar w:fldCharType="begin"/>
      </w:r>
      <w:r w:rsidRPr="00D36DCF">
        <w:rPr>
          <w:color w:val="13099A"/>
          <w:u w:val="single" w:color="13099A"/>
        </w:rPr>
        <w:instrText xml:space="preserve"> HYPERLINK "mailto:chushu.wu@komatsu.eu" \h </w:instrText>
      </w:r>
      <w:r>
        <w:rPr>
          <w:color w:val="13099A"/>
          <w:u w:val="single" w:color="13099A"/>
          <w:lang w:val="de-DE"/>
        </w:rPr>
        <w:fldChar w:fldCharType="separate"/>
      </w:r>
      <w:r w:rsidR="0079076E" w:rsidRPr="00D36DCF">
        <w:rPr>
          <w:color w:val="13099A"/>
          <w:u w:val="single" w:color="13099A"/>
        </w:rPr>
        <w:t>chushu.wu@komatsu.eu</w:t>
      </w:r>
      <w:r>
        <w:rPr>
          <w:color w:val="13099A"/>
          <w:u w:val="single" w:color="13099A"/>
          <w:lang w:val="de-DE"/>
        </w:rPr>
        <w:fldChar w:fldCharType="end"/>
      </w:r>
    </w:p>
    <w:p w14:paraId="73943D50" w14:textId="77777777" w:rsidR="00186B97" w:rsidRPr="00D36DCF" w:rsidRDefault="00186B97" w:rsidP="007848B7">
      <w:pPr>
        <w:pStyle w:val="Titel"/>
        <w:ind w:left="360" w:right="360"/>
        <w:jc w:val="left"/>
      </w:pPr>
    </w:p>
    <w:p w14:paraId="5DFDC6CE" w14:textId="77777777" w:rsidR="00186B97" w:rsidRPr="00D36DCF" w:rsidRDefault="00186B97" w:rsidP="007848B7">
      <w:pPr>
        <w:pStyle w:val="Titel"/>
        <w:ind w:left="360" w:right="360"/>
        <w:jc w:val="left"/>
      </w:pPr>
    </w:p>
    <w:p w14:paraId="23DC8CED" w14:textId="77777777" w:rsidR="00D87BCC" w:rsidRDefault="00D87BCC" w:rsidP="007848B7">
      <w:pPr>
        <w:spacing w:before="27"/>
        <w:ind w:left="360" w:right="360"/>
        <w:jc w:val="center"/>
        <w:rPr>
          <w:b/>
          <w:bCs/>
          <w:sz w:val="28"/>
          <w:szCs w:val="28"/>
        </w:rPr>
      </w:pPr>
      <w:r>
        <w:rPr>
          <w:b/>
          <w:sz w:val="28"/>
        </w:rPr>
        <w:t xml:space="preserve">Salon </w:t>
      </w:r>
      <w:proofErr w:type="spellStart"/>
      <w:r>
        <w:rPr>
          <w:b/>
          <w:sz w:val="28"/>
        </w:rPr>
        <w:t>bauma</w:t>
      </w:r>
      <w:proofErr w:type="spellEnd"/>
      <w:r>
        <w:rPr>
          <w:b/>
          <w:sz w:val="28"/>
        </w:rPr>
        <w:t> 2025 : Komatsu au rythme de l’industrie</w:t>
      </w:r>
    </w:p>
    <w:p w14:paraId="58F3A73F" w14:textId="02BD6983" w:rsidR="00D87BCC" w:rsidRPr="00D87BCC" w:rsidRDefault="00D87BCC" w:rsidP="007848B7">
      <w:pPr>
        <w:spacing w:before="27"/>
        <w:ind w:left="360" w:right="360"/>
        <w:jc w:val="center"/>
        <w:rPr>
          <w:i/>
          <w:iCs/>
        </w:rPr>
      </w:pPr>
      <w:r>
        <w:rPr>
          <w:i/>
        </w:rPr>
        <w:t>Une exposition exceptionnelle de machines, de solutions et de services pour les défis à relever aujourd’hui et demain</w:t>
      </w:r>
    </w:p>
    <w:p w14:paraId="6FE6994B" w14:textId="77777777" w:rsidR="00186B97" w:rsidRDefault="00186B97" w:rsidP="007848B7">
      <w:pPr>
        <w:spacing w:before="27"/>
        <w:ind w:left="360" w:right="360"/>
        <w:jc w:val="center"/>
        <w:rPr>
          <w:i/>
        </w:rPr>
      </w:pPr>
    </w:p>
    <w:p w14:paraId="3669CD5E" w14:textId="6B18688C" w:rsidR="00DF3EDA" w:rsidRDefault="00B15C37" w:rsidP="007F6E4D">
      <w:pPr>
        <w:pStyle w:val="Textkrper"/>
        <w:spacing w:after="180" w:line="259" w:lineRule="auto"/>
        <w:ind w:left="360" w:right="360"/>
      </w:pPr>
      <w:r>
        <w:rPr>
          <w:b/>
          <w:bCs/>
        </w:rPr>
        <w:t>Vilvorde, février 2025</w:t>
      </w:r>
      <w:r>
        <w:rPr>
          <w:b/>
        </w:rPr>
        <w:t xml:space="preserve"> </w:t>
      </w:r>
      <w:r>
        <w:t xml:space="preserve">— Avec 34 machines exposées sur plus de 7 500 mètres carrés de surface d’exposition, Komatsu a le plaisir de se présenter une fois de plus sur la principale scène de l’industrie de la construction, le salon </w:t>
      </w:r>
      <w:proofErr w:type="spellStart"/>
      <w:r>
        <w:t>bauma</w:t>
      </w:r>
      <w:proofErr w:type="spellEnd"/>
      <w:r>
        <w:t xml:space="preserve"> Munich, du 7 au 13 avril 2025, dans le hall C6.</w:t>
      </w:r>
    </w:p>
    <w:p w14:paraId="5507E0D2" w14:textId="40BB3A56" w:rsidR="00D7342A" w:rsidRDefault="00BD46EE" w:rsidP="000F3768">
      <w:pPr>
        <w:pStyle w:val="Textkrper"/>
        <w:spacing w:after="180" w:line="259" w:lineRule="auto"/>
        <w:ind w:left="360" w:right="360"/>
      </w:pPr>
      <w:proofErr w:type="spellStart"/>
      <w:r>
        <w:t>Naser</w:t>
      </w:r>
      <w:proofErr w:type="spellEnd"/>
      <w:r>
        <w:t> </w:t>
      </w:r>
      <w:proofErr w:type="spellStart"/>
      <w:r>
        <w:t>Memic</w:t>
      </w:r>
      <w:proofErr w:type="spellEnd"/>
      <w:r>
        <w:t> </w:t>
      </w:r>
      <w:proofErr w:type="spellStart"/>
      <w:r>
        <w:t>Rendon</w:t>
      </w:r>
      <w:proofErr w:type="spellEnd"/>
      <w:r>
        <w:t>, responsable général adjoint du marketing et de la communication chez Komatsu Europe, explique : « L’équipe Komatsu et nos distributeurs de confiance accueillent chaleureusement tous les visiteurs pour leur faire découvrir nos dernières innovations. Nous sommes impatients de faire de votre visite un moment inoubliable ! »</w:t>
      </w:r>
    </w:p>
    <w:p w14:paraId="25DD3079" w14:textId="3F30E283" w:rsidR="00465E5D" w:rsidRDefault="00BA29E0" w:rsidP="007848B7">
      <w:pPr>
        <w:pStyle w:val="Textkrper"/>
        <w:spacing w:after="180" w:line="259" w:lineRule="auto"/>
        <w:ind w:left="360" w:right="360"/>
        <w:rPr>
          <w:b/>
        </w:rPr>
      </w:pPr>
      <w:r>
        <w:rPr>
          <w:b/>
        </w:rPr>
        <w:t>Komatsu présente 13 nouvelles machines au salon </w:t>
      </w:r>
      <w:proofErr w:type="spellStart"/>
      <w:r>
        <w:rPr>
          <w:b/>
        </w:rPr>
        <w:t>bauma</w:t>
      </w:r>
      <w:proofErr w:type="spellEnd"/>
    </w:p>
    <w:p w14:paraId="59285DF5" w14:textId="19143DE5" w:rsidR="3D2237D0" w:rsidRPr="000D6650" w:rsidRDefault="32D12717" w:rsidP="000D6650">
      <w:pPr>
        <w:pStyle w:val="Textkrper"/>
        <w:spacing w:after="180" w:line="259" w:lineRule="auto"/>
        <w:ind w:left="360" w:right="360"/>
      </w:pPr>
      <w:r>
        <w:t xml:space="preserve">Parmi ces 13 nouveautés, on retrouve la toute nouvelle PC220LCi-12. Forte de la décennie d’expérience de Komatsu et des millions d’heures de fonctionnement de la technologie de contrôle de la machine intégrée, cette pelle offre aux clients de nouvelles caractéristiques </w:t>
      </w:r>
      <w:proofErr w:type="spellStart"/>
      <w:r>
        <w:t>iMC</w:t>
      </w:r>
      <w:proofErr w:type="spellEnd"/>
      <w:r>
        <w:t> 3.0 totalement uniques. En plus d’établir de nouvelles normes de productivité et d’efficacité, la machine bénéficie d’un tout nouveau design de cabine visant à maximiser le confort de l’opérateur ainsi que des solutions de connectivité sans faille qui facilitent encore plus la transformation numérique des chantiers. Komatsu invite tous les visiteurs à découvrir ses caractéristiques innovantes en assistant à la démonstration qui se déroulera dans l’espace extérieur.</w:t>
      </w:r>
    </w:p>
    <w:p w14:paraId="4D29C6B8" w14:textId="579EDDAB" w:rsidR="00487AD1" w:rsidRDefault="00A2457C" w:rsidP="007848B7">
      <w:pPr>
        <w:pStyle w:val="Textkrper"/>
        <w:spacing w:after="180" w:line="259" w:lineRule="auto"/>
        <w:ind w:left="360" w:right="360"/>
      </w:pPr>
      <w:r w:rsidRPr="00A2457C">
        <w:t xml:space="preserve">D'autres points marquants sont les nouvelles chargeuses sur pneus </w:t>
      </w:r>
      <w:r>
        <w:t>série</w:t>
      </w:r>
      <w:r w:rsidRPr="00A2457C">
        <w:t xml:space="preserve"> 11</w:t>
      </w:r>
      <w:r w:rsidR="00D36DCF">
        <w:t>,</w:t>
      </w:r>
      <w:bookmarkStart w:id="0" w:name="_GoBack"/>
      <w:bookmarkEnd w:id="0"/>
      <w:r w:rsidRPr="00A2457C">
        <w:t xml:space="preserve"> WA475-11 et WA485-11, développées par Komatsu Ltd. au Japon et fabriquées chez Komatsu Germany </w:t>
      </w:r>
      <w:proofErr w:type="spellStart"/>
      <w:r w:rsidRPr="00A2457C">
        <w:t>GmbH</w:t>
      </w:r>
      <w:proofErr w:type="spellEnd"/>
      <w:r w:rsidRPr="00A2457C">
        <w:t xml:space="preserve"> – Construction Division à Hanovre.</w:t>
      </w:r>
      <w:r>
        <w:t xml:space="preserve"> </w:t>
      </w:r>
      <w:r w:rsidR="009F1536">
        <w:t xml:space="preserve">Ces deux nouveaux modèles offrent une puissance et un rendement énergétique inégalés, grâce à un convertisseur de couple de grande capacité et à une </w:t>
      </w:r>
      <w:r w:rsidRPr="00A2457C">
        <w:t>transmission hydromécanique (transmission à variation continue)</w:t>
      </w:r>
      <w:r w:rsidR="009F1536">
        <w:t>. Les chargeuses sur pneus sont également dotées d’une charge utile et d’une capacité du godet considérablement accrues, et répondent aux normes d’émission européenne de phase V grâce à un filtre à particules diesel de longue durée. Komatsu invite les visiteurs à découvrir leur cabine spacieuse et ergonomique, et équipée de contrôles réglables et d’un siège à suspension pneumatique.</w:t>
      </w:r>
    </w:p>
    <w:p w14:paraId="094706F8" w14:textId="77777777" w:rsidR="001254E9" w:rsidRDefault="001254E9">
      <w:r>
        <w:br w:type="page"/>
      </w:r>
    </w:p>
    <w:p w14:paraId="0734D128" w14:textId="493ECCE3" w:rsidR="00D14336" w:rsidRDefault="004064FE" w:rsidP="007F6E4D">
      <w:pPr>
        <w:pStyle w:val="Textkrper"/>
        <w:spacing w:after="180" w:line="259" w:lineRule="auto"/>
        <w:ind w:left="360" w:right="360"/>
      </w:pPr>
      <w:r>
        <w:lastRenderedPageBreak/>
        <w:t>Dans la catégorie des chargeuses sur pneus de plus grande taille, les visiteurs auront également l’occasion de voir, en exclusivité après une décennie de développement, la WA700-8 réinventée. Ils pourront assister à une démonstration dynamique aux côtés de son partenaire idéal, le HD605-10, notre tombereau rigide de 60 t. Komatsu promet que ce gentil géant ravira tous ses opérateurs grâce à sa cabine confortable, ses niveaux de sécurité incomparables, sa puissance et sa stabilité inégalées, sa charge utile et son volume de godet considérables ainsi que son respect irréprochable de l’environnement.</w:t>
      </w:r>
    </w:p>
    <w:p w14:paraId="62FE62C0" w14:textId="7B37A760" w:rsidR="007F6E4D" w:rsidRDefault="007848B7" w:rsidP="005C6E52">
      <w:pPr>
        <w:pStyle w:val="Textkrper"/>
        <w:spacing w:after="180" w:line="259" w:lineRule="auto"/>
        <w:ind w:left="360" w:right="360"/>
      </w:pPr>
      <w:r>
        <w:t xml:space="preserve">Komatsu recommande vivement à tous les visiteurs de réserver un créneau horaire au cours de leur visite à </w:t>
      </w:r>
      <w:proofErr w:type="spellStart"/>
      <w:r>
        <w:t>bauma</w:t>
      </w:r>
      <w:proofErr w:type="spellEnd"/>
      <w:r>
        <w:t xml:space="preserve"> pour assister à la démonstration de la PC7000-11E, notre pelle hydraulique à moteur électrique pour l’extraction minière en configuration pelle rétro. Forte de plus de 40 ans d’innovation dans le domaine des pelles hydrauliques à moteur électrique pour l’exploitation minière, la division spécialisée dans l’exploitation minière de Komatsu Germany </w:t>
      </w:r>
      <w:proofErr w:type="spellStart"/>
      <w:r>
        <w:t>GmbH</w:t>
      </w:r>
      <w:proofErr w:type="spellEnd"/>
      <w:r>
        <w:t xml:space="preserve"> (Düsseldorf) est fière de présenter cette pelle à moteur électrique. Une pelle qui allie la puissante force d’excavation des machines diesel à hautes performances à l’empreinte carbone réduite d’une machine à moteur électrique. Conçue pour résister aux opérations minières les plus difficiles, la PC7000-11E offre une longévité, une fiabilité et des performances exceptionnelles. </w:t>
      </w:r>
    </w:p>
    <w:p w14:paraId="20495BE1" w14:textId="09286984" w:rsidR="007F6E4D" w:rsidRDefault="00015BF3" w:rsidP="00F43C23">
      <w:pPr>
        <w:pStyle w:val="Textkrper"/>
        <w:spacing w:after="180" w:line="259" w:lineRule="auto"/>
        <w:ind w:left="360" w:right="360"/>
      </w:pPr>
      <w:r>
        <w:t>Les experts en exploitation minière de Komatsu seront présents sur le stand extérieur FM713/1, où ils présenteront leur technologie et la manière dont elle aide l’industrie minière à atteindre ses objectifs de réduction des émissions tout en maintenant l’efficacité de ses opérations.</w:t>
      </w:r>
    </w:p>
    <w:p w14:paraId="3F934C87" w14:textId="0C52C382" w:rsidR="00CD3111" w:rsidRDefault="008349A7" w:rsidP="00F43C23">
      <w:pPr>
        <w:pStyle w:val="Textkrper"/>
        <w:spacing w:after="180" w:line="259" w:lineRule="auto"/>
        <w:ind w:left="360" w:right="360"/>
      </w:pPr>
      <w:r>
        <w:t xml:space="preserve">Passant de l’exploitation minière à l’environnement urbain, Komatsu aura le plaisir de présenter une nouvelle chargeuse compacte de 4 t ainsi qu’une nouvelle chargeuse compacte à train de chaîne sur chenilles de 5 t. Ces deux machines offrent l’une des charges utiles les plus élevées de leur catégorie ainsi qu’une capacité de levage, une force de traction et un effort au godet supérieurs leur permettant de répondre aux besoins en constante évolution de nos clients. </w:t>
      </w:r>
    </w:p>
    <w:p w14:paraId="16ABD534" w14:textId="3E2CECD4" w:rsidR="00CD3111" w:rsidRDefault="00CD3111" w:rsidP="00F43C23">
      <w:pPr>
        <w:pStyle w:val="Textkrper"/>
        <w:spacing w:after="180" w:line="259" w:lineRule="auto"/>
        <w:ind w:left="360" w:right="360"/>
      </w:pPr>
      <w:r>
        <w:t xml:space="preserve">Komatsu présentera également une midi-pelle à rayon court de 7,5 t, conçue pour combler le vide qui existe sous les pelles hydrauliques sur pneus de taille moyenne. Cette machine compacte est facile à utiliser et précise, quel que soit l’accessoire avec lequel elle est utilisée, offre une maniabilité exceptionnelle sur route et sa taille super compacte en fait une machine idéale pour les environnements urbains. </w:t>
      </w:r>
    </w:p>
    <w:p w14:paraId="39A6458A" w14:textId="4C31342F" w:rsidR="00CD3111" w:rsidRDefault="00CD3111" w:rsidP="00F43C23">
      <w:pPr>
        <w:pStyle w:val="Textkrper"/>
        <w:spacing w:after="180" w:line="259" w:lineRule="auto"/>
        <w:ind w:left="360" w:right="360"/>
      </w:pPr>
      <w:r>
        <w:t xml:space="preserve">Ces trois machines ont été conçues et fabriquées avec fierté par Komatsu </w:t>
      </w:r>
      <w:proofErr w:type="spellStart"/>
      <w:r>
        <w:t>Italia</w:t>
      </w:r>
      <w:proofErr w:type="spellEnd"/>
      <w:r>
        <w:t xml:space="preserve"> </w:t>
      </w:r>
      <w:proofErr w:type="spellStart"/>
      <w:r>
        <w:t>Manufacturing</w:t>
      </w:r>
      <w:proofErr w:type="spellEnd"/>
      <w:r>
        <w:t xml:space="preserve"> </w:t>
      </w:r>
      <w:proofErr w:type="spellStart"/>
      <w:r>
        <w:t>S.p.A</w:t>
      </w:r>
      <w:proofErr w:type="spellEnd"/>
      <w:r>
        <w:t>.</w:t>
      </w:r>
    </w:p>
    <w:p w14:paraId="31C77E00" w14:textId="5774ABBA" w:rsidR="002B261D" w:rsidRPr="00DC787E" w:rsidRDefault="00DC787E" w:rsidP="00F43C23">
      <w:pPr>
        <w:pStyle w:val="Textkrper"/>
        <w:spacing w:after="180" w:line="259" w:lineRule="auto"/>
        <w:ind w:left="360" w:right="360"/>
        <w:rPr>
          <w:b/>
          <w:bCs/>
        </w:rPr>
      </w:pPr>
      <w:r>
        <w:rPr>
          <w:b/>
        </w:rPr>
        <w:t>Sérénité grâce aux solutions d’assistance complètes de Komatsu</w:t>
      </w:r>
    </w:p>
    <w:p w14:paraId="76306186" w14:textId="4031D4CF" w:rsidR="002B261D" w:rsidRPr="002B261D" w:rsidRDefault="002B261D" w:rsidP="00F43C23">
      <w:pPr>
        <w:pStyle w:val="Textkrper"/>
        <w:spacing w:after="180" w:line="259" w:lineRule="auto"/>
        <w:ind w:left="360" w:right="360"/>
      </w:pPr>
      <w:r>
        <w:t>Investir dans une machine Komatsu, c’</w:t>
      </w:r>
      <w:proofErr w:type="spellStart"/>
      <w:r>
        <w:t>est</w:t>
      </w:r>
      <w:proofErr w:type="spellEnd"/>
      <w:r>
        <w:t xml:space="preserve"> s’assurer une sérénité absolue. Au salon </w:t>
      </w:r>
      <w:proofErr w:type="spellStart"/>
      <w:r>
        <w:t>bauma</w:t>
      </w:r>
      <w:proofErr w:type="spellEnd"/>
      <w:r>
        <w:t>, une équipe d’après-vente dédiée présentera les solutions d’assistance complètes qui vous permettent de tirer le meilleur parti de votre machine.</w:t>
      </w:r>
    </w:p>
    <w:p w14:paraId="1C9CEDCE" w14:textId="01038E64" w:rsidR="00EF0E43" w:rsidRDefault="00161FBE" w:rsidP="00F43C23">
      <w:pPr>
        <w:pStyle w:val="Textkrper"/>
        <w:spacing w:after="180" w:line="259" w:lineRule="auto"/>
        <w:ind w:left="360" w:right="360"/>
      </w:pPr>
      <w:r>
        <w:t xml:space="preserve">De l’entretien proactif par le biais de contrats de service et de l’assistance personnalisée par le biais de notre programme Care, aux garanties prolongées et à la disponibilité des pièces d’origine, des lubrifiants et des outils d’attaque au sol (G. E. T.), Komatsu vous propose une gamme complète de services. Les visiteurs pourront en apprendre davantage sur les pièces de rechange REMAN, sur le pouvoir prédictif de l’analyse de l’huile KOWA et sur les solutions de châssis spécialisées pour les modèles à train de chaînes. </w:t>
      </w:r>
    </w:p>
    <w:p w14:paraId="180891A4" w14:textId="77777777" w:rsidR="001254E9" w:rsidRDefault="001254E9">
      <w:pPr>
        <w:rPr>
          <w:b/>
        </w:rPr>
      </w:pPr>
      <w:r>
        <w:rPr>
          <w:b/>
        </w:rPr>
        <w:br w:type="page"/>
      </w:r>
    </w:p>
    <w:p w14:paraId="351C68EF" w14:textId="04E31E28" w:rsidR="00DC787E" w:rsidRDefault="00DC787E" w:rsidP="00F43C23">
      <w:pPr>
        <w:pStyle w:val="Textkrper"/>
        <w:spacing w:after="180" w:line="259" w:lineRule="auto"/>
        <w:ind w:left="360" w:right="360"/>
        <w:rPr>
          <w:b/>
          <w:bCs/>
        </w:rPr>
      </w:pPr>
      <w:r>
        <w:rPr>
          <w:b/>
        </w:rPr>
        <w:lastRenderedPageBreak/>
        <w:t>Des machines électriques et des solutions d’alimentation en énergie en vedette lors des démonstrations en intérieur</w:t>
      </w:r>
    </w:p>
    <w:p w14:paraId="20FD7C64" w14:textId="1BE13538" w:rsidR="008349A7" w:rsidRDefault="008349A7" w:rsidP="00F43C23">
      <w:pPr>
        <w:pStyle w:val="Textkrper"/>
        <w:spacing w:after="180" w:line="259" w:lineRule="auto"/>
        <w:ind w:left="360" w:right="360"/>
      </w:pPr>
      <w:r>
        <w:t xml:space="preserve">Plusieurs machines électriques, dont la PC33E-6, une machine qui a déjà fait ses preuves, ainsi que la PC20 Electric et la PC26 Electric, des machines en </w:t>
      </w:r>
      <w:proofErr w:type="spellStart"/>
      <w:r>
        <w:t>préproduction</w:t>
      </w:r>
      <w:proofErr w:type="spellEnd"/>
      <w:r>
        <w:t>, feront l’objet d’une démonstration dans le hall C6. Les modèles pilotes PC138E-11 et PC210LCE-11 seront également mis à l’honneur et accompagnés de quelques machines conceptuelles à la pointe de la technologie. Les démonstrations en intérieur étant exclusivement réalisées avec des machines électriques, les clients pourront pleinement profiter des avantages des chaînes cinématiques électriques : silencieuses, à faibles vibrations et sans aucune émission.</w:t>
      </w:r>
    </w:p>
    <w:p w14:paraId="143BF47B" w14:textId="75BC0FDA" w:rsidR="00920032" w:rsidRDefault="00233D8C" w:rsidP="00F43C23">
      <w:pPr>
        <w:pStyle w:val="Textkrper"/>
        <w:spacing w:after="180" w:line="259" w:lineRule="auto"/>
        <w:ind w:left="360" w:right="360"/>
      </w:pPr>
      <w:r>
        <w:t xml:space="preserve">Komatsu comprend que l’intégration de machines électriques dans votre flux de travail peut soulever de nouvelles considérations. C’est pourquoi Komatsu s’associe aux leaders de l’industrie, notamment lors du salon </w:t>
      </w:r>
      <w:proofErr w:type="spellStart"/>
      <w:r>
        <w:t>bauma</w:t>
      </w:r>
      <w:proofErr w:type="spellEnd"/>
      <w:r>
        <w:t> 2025, pour présenter des solutions de recharge électrique à la pointe de la technologie, qui alimenteront l’avenir du secteur de la construction.</w:t>
      </w:r>
    </w:p>
    <w:p w14:paraId="5599299E" w14:textId="77777777" w:rsidR="00F43C23" w:rsidRDefault="00233D8C" w:rsidP="00F43C23">
      <w:pPr>
        <w:pStyle w:val="Textkrper"/>
        <w:spacing w:after="180" w:line="259" w:lineRule="auto"/>
        <w:ind w:left="360" w:right="360"/>
      </w:pPr>
      <w:r>
        <w:t>Le salon représente une formidable occasion de rencontrer les experts en électrification de Komatsu et de découvrir comment leurs technologies innovantes peuvent contribuer à votre transition écologique.</w:t>
      </w:r>
    </w:p>
    <w:p w14:paraId="0EEFA7BB" w14:textId="10C0F58F" w:rsidR="00396823" w:rsidRPr="00F43C23" w:rsidRDefault="00DC787E" w:rsidP="00F43C23">
      <w:pPr>
        <w:pStyle w:val="Textkrper"/>
        <w:spacing w:after="180" w:line="259" w:lineRule="auto"/>
        <w:ind w:left="360" w:right="360"/>
      </w:pPr>
      <w:r>
        <w:rPr>
          <w:b/>
        </w:rPr>
        <w:t>Optimisation des processus grâce aux solutions et services numériques</w:t>
      </w:r>
    </w:p>
    <w:p w14:paraId="5E2EF423" w14:textId="0EC05B4B" w:rsidR="00D73FDC" w:rsidRDefault="00D73FDC" w:rsidP="00F43C23">
      <w:pPr>
        <w:pStyle w:val="Textkrper"/>
        <w:spacing w:after="180" w:line="259" w:lineRule="auto"/>
        <w:ind w:left="360" w:right="360"/>
      </w:pPr>
      <w:r>
        <w:t xml:space="preserve">L’industrie est désormais habituée à ce que Komatsu soit synonyme de technologie. Nos clients auront donc l’occasion de découvrir nos dernières innovations logicielles et matérielles dans l’espace Komatsu dédié à la numérisation, où Smart Construction, Smart </w:t>
      </w:r>
      <w:proofErr w:type="spellStart"/>
      <w:r>
        <w:t>Quarry</w:t>
      </w:r>
      <w:proofErr w:type="spellEnd"/>
      <w:r>
        <w:t xml:space="preserve"> et une suite complète de solutions télématiques seront présentées. En proposant des solutions numériques évolutives et adaptables, Komatsu continue à établir la référence en matière d’innovation dans ces secteurs, en veillant à ce que les entreprises de toutes tailles puissent optimiser leurs performances grâce à des prises de décision fondées sur des données. </w:t>
      </w:r>
    </w:p>
    <w:p w14:paraId="38C89CB9" w14:textId="6E4975B1" w:rsidR="00F16C89" w:rsidRDefault="00F16C89" w:rsidP="00F43C23">
      <w:pPr>
        <w:pStyle w:val="Textkrper"/>
        <w:spacing w:after="180" w:line="259" w:lineRule="auto"/>
        <w:ind w:left="360" w:right="360"/>
      </w:pPr>
      <w:r>
        <w:t xml:space="preserve">Smart Construction occupera le devant de la scène, avec l’introduction de plusieurs produits conçus pour améliorer les opérations sur les chantiers. L’un des points forts de ces présentations sera la compatibilité élargie du système de guidage machine 3D. Smart Construction présentera également la deuxième génération de son système </w:t>
      </w:r>
      <w:proofErr w:type="spellStart"/>
      <w:r>
        <w:t>Edge</w:t>
      </w:r>
      <w:proofErr w:type="spellEnd"/>
      <w:r>
        <w:t>, doté d’une fonction d’enlèvement d’objets améliorée grâce à l’intelligence artificielle.</w:t>
      </w:r>
    </w:p>
    <w:p w14:paraId="2A748232" w14:textId="591CD2FE" w:rsidR="009A3AA3" w:rsidRPr="00F16C89" w:rsidRDefault="009A3AA3" w:rsidP="00F43C23">
      <w:pPr>
        <w:pStyle w:val="Textkrper"/>
        <w:spacing w:after="180" w:line="259" w:lineRule="auto"/>
        <w:ind w:left="360" w:right="360"/>
      </w:pPr>
      <w:r>
        <w:t xml:space="preserve">Smart </w:t>
      </w:r>
      <w:proofErr w:type="spellStart"/>
      <w:r>
        <w:t>Quarry</w:t>
      </w:r>
      <w:proofErr w:type="spellEnd"/>
      <w:r>
        <w:t>, une solution compatible avec toutes les machines, quel que soit leur constructeur, pour le suivi et la gestion de l’ensemble des opérations d’exploitation des carrières, constituera un autre point fort de la présentation. Développée en partenariat avec MHI Group en Allemagne, la première installation est actuellement déployée sur un parc mixte de machines.</w:t>
      </w:r>
    </w:p>
    <w:p w14:paraId="30F93CD5" w14:textId="7E7C42EE" w:rsidR="00233D8C" w:rsidRPr="002D4B10" w:rsidRDefault="004A2A23" w:rsidP="00F43C23">
      <w:pPr>
        <w:pStyle w:val="Textkrper"/>
        <w:spacing w:after="180" w:line="259" w:lineRule="auto"/>
        <w:ind w:left="360" w:right="360"/>
      </w:pPr>
      <w:r>
        <w:t xml:space="preserve">Leurs experts en télématique seront également présents et se feront un plaisir d’expliquer aux visiteurs comment exploiter les données des machines pour maximiser le potentiel de l’équipement et optimiser les opérations. De la surveillance en temps réel à l’entretien prédictif en passant par l’analyse avancée, les solutions télématiques de Komatsu vous fournissent des informations précieuses qui stimulent la productivité, réduisent la durée d’immobilisation et améliorent l’efficacité. </w:t>
      </w:r>
    </w:p>
    <w:p w14:paraId="62EA37BC" w14:textId="77777777" w:rsidR="001254E9" w:rsidRDefault="001254E9">
      <w:pPr>
        <w:rPr>
          <w:b/>
        </w:rPr>
      </w:pPr>
      <w:r>
        <w:rPr>
          <w:b/>
        </w:rPr>
        <w:br w:type="page"/>
      </w:r>
    </w:p>
    <w:p w14:paraId="1B752B67" w14:textId="3259B3F8" w:rsidR="00233025" w:rsidRDefault="001254E9" w:rsidP="00F43C23">
      <w:pPr>
        <w:pStyle w:val="Textkrper"/>
        <w:spacing w:after="180" w:line="259" w:lineRule="auto"/>
        <w:ind w:left="360" w:right="360"/>
        <w:rPr>
          <w:b/>
        </w:rPr>
      </w:pPr>
      <w:r>
        <w:rPr>
          <w:b/>
        </w:rPr>
        <w:lastRenderedPageBreak/>
        <w:t>Pelle</w:t>
      </w:r>
      <w:r w:rsidR="00233025">
        <w:rPr>
          <w:b/>
        </w:rPr>
        <w:t xml:space="preserve"> et produits dérivés aux couleurs de Williams Racing</w:t>
      </w:r>
    </w:p>
    <w:p w14:paraId="0BC3E7C3" w14:textId="5BC12354" w:rsidR="00F43C23" w:rsidRDefault="00380BFF" w:rsidP="00F43C23">
      <w:pPr>
        <w:pStyle w:val="Textkrper"/>
        <w:spacing w:after="180" w:line="259" w:lineRule="auto"/>
        <w:ind w:left="360" w:right="360"/>
      </w:pPr>
      <w:r>
        <w:t xml:space="preserve">Komatsu est, depuis le début de la saison 2024 du Championnat du monde de Formule 1 de la FIA (F1), le partenaire principal de Williams Racing, l’une des équipes de Formule 1 les plus emblématiques au monde. </w:t>
      </w:r>
    </w:p>
    <w:p w14:paraId="5D753788" w14:textId="6058D91B" w:rsidR="00CB6520" w:rsidRDefault="00F43C23" w:rsidP="00CB6520">
      <w:pPr>
        <w:pStyle w:val="Textkrper"/>
        <w:spacing w:after="180" w:line="259" w:lineRule="auto"/>
        <w:ind w:left="360" w:right="360"/>
      </w:pPr>
      <w:r>
        <w:t>Afin de mettre en valeur ce partenariat, Komatsu présentera sa HB365LC, une pelle hybride, spécialement habillée aux couleurs de Williams Racing Cette pelle, revêtue des coul</w:t>
      </w:r>
      <w:r w:rsidR="001254E9">
        <w:t>eurs distinctives de Williams Ra</w:t>
      </w:r>
      <w:r>
        <w:t>cing, incarne visuellement notre engagement commun en faveur de la technologie et de la performance.</w:t>
      </w:r>
    </w:p>
    <w:p w14:paraId="19874153" w14:textId="74E050D8" w:rsidR="00440D2E" w:rsidRDefault="00CB6520" w:rsidP="00CB6520">
      <w:pPr>
        <w:pStyle w:val="Textkrper"/>
        <w:spacing w:after="180" w:line="259" w:lineRule="auto"/>
        <w:ind w:left="360" w:right="360"/>
      </w:pPr>
      <w:r>
        <w:t xml:space="preserve">Pour la première fois au salon </w:t>
      </w:r>
      <w:proofErr w:type="spellStart"/>
      <w:r>
        <w:t>bauma</w:t>
      </w:r>
      <w:proofErr w:type="spellEnd"/>
      <w:r>
        <w:t>, Komatsu présentera la manière dont elle s’attaque à certains des environnements les plus exigeants au monde, des profondeurs de l’océan à l’immensité de l’espace.</w:t>
      </w:r>
    </w:p>
    <w:p w14:paraId="65DDD2F7" w14:textId="77777777" w:rsidR="009F173B" w:rsidRDefault="009F173B" w:rsidP="000D1AAB">
      <w:pPr>
        <w:pStyle w:val="Textkrper"/>
        <w:spacing w:after="180" w:line="259" w:lineRule="auto"/>
        <w:ind w:right="360"/>
        <w:rPr>
          <w:bCs/>
        </w:rPr>
      </w:pPr>
    </w:p>
    <w:p w14:paraId="65B6B67E" w14:textId="77777777" w:rsidR="00D7342A" w:rsidRPr="00FF49E2" w:rsidRDefault="00D7342A" w:rsidP="00FF49E2">
      <w:pPr>
        <w:pStyle w:val="Textkrper"/>
        <w:spacing w:after="180" w:line="259" w:lineRule="auto"/>
        <w:ind w:right="360"/>
        <w:rPr>
          <w:rFonts w:ascii="Calibri"/>
          <w:iCs/>
          <w:sz w:val="24"/>
        </w:rPr>
      </w:pPr>
    </w:p>
    <w:p w14:paraId="13F85C41" w14:textId="77777777" w:rsidR="00DF3EDA" w:rsidRDefault="00B15C37" w:rsidP="00F43C23">
      <w:pPr>
        <w:pStyle w:val="berschrift1"/>
        <w:spacing w:before="0"/>
        <w:ind w:left="360" w:right="360"/>
        <w:rPr>
          <w:spacing w:val="-2"/>
        </w:rPr>
      </w:pPr>
      <w:r>
        <w:t>À propos de Komatsu</w:t>
      </w:r>
    </w:p>
    <w:p w14:paraId="6202C57E" w14:textId="77777777" w:rsidR="00186B97" w:rsidRDefault="00186B97" w:rsidP="00F43C23">
      <w:pPr>
        <w:pStyle w:val="berschrift1"/>
        <w:spacing w:before="0"/>
        <w:ind w:left="360" w:right="360"/>
      </w:pPr>
    </w:p>
    <w:p w14:paraId="39F7D991" w14:textId="77777777" w:rsidR="00DF3EDA" w:rsidRDefault="00B15C37" w:rsidP="00F43C23">
      <w:pPr>
        <w:pStyle w:val="Textkrper"/>
        <w:spacing w:before="37" w:line="276" w:lineRule="auto"/>
        <w:ind w:left="360" w:right="360"/>
      </w:pPr>
      <w:r>
        <w:t>Komatsu est un fabricant et fournisseur de premier plan d’équipements, de technologies et de services pour la construction, les chariots élévateurs, l'extraction minière et les marchés forestiers et industriels. Depuis plus d’un siècle, les machines et services de Komatsu sont utilisés par des entreprises du monde entier pour développer des infrastructures modernes, extraire des minerais essentiels, entretenir des forêts et créer des technologies et des produits de consommation. Les réseaux mondiaux de services et de distributeurs de la société apportent leur soutien aux activités des clients et mettent à profit la puissance des données et de la technologie pour améliorer la sécurité et la productivité tout en optimisant les prestations.</w:t>
      </w:r>
    </w:p>
    <w:p w14:paraId="7462731A" w14:textId="77777777" w:rsidR="00DF3EDA" w:rsidRDefault="00DF3EDA" w:rsidP="00F43C23">
      <w:pPr>
        <w:pStyle w:val="Textkrper"/>
        <w:ind w:left="360" w:right="360"/>
      </w:pPr>
    </w:p>
    <w:p w14:paraId="7FE6AE11" w14:textId="77777777" w:rsidR="00DF3EDA" w:rsidRDefault="00DF3EDA" w:rsidP="00F43C23">
      <w:pPr>
        <w:pStyle w:val="Textkrper"/>
        <w:spacing w:before="1"/>
        <w:ind w:left="360" w:right="360"/>
      </w:pPr>
    </w:p>
    <w:p w14:paraId="4FB0CBAB" w14:textId="77777777" w:rsidR="00DF3EDA" w:rsidRDefault="00B15C37" w:rsidP="007848B7">
      <w:pPr>
        <w:tabs>
          <w:tab w:val="left" w:pos="429"/>
          <w:tab w:val="left" w:pos="859"/>
        </w:tabs>
        <w:ind w:left="360" w:right="360"/>
        <w:jc w:val="center"/>
      </w:pPr>
      <w:r>
        <w:t>#</w:t>
      </w:r>
      <w:r>
        <w:tab/>
        <w:t>#</w:t>
      </w:r>
      <w:r>
        <w:tab/>
        <w:t>#</w:t>
      </w:r>
    </w:p>
    <w:sectPr w:rsidR="00DF3EDA" w:rsidSect="007848B7">
      <w:headerReference w:type="default" r:id="rId9"/>
      <w:type w:val="continuous"/>
      <w:pgSz w:w="11910" w:h="16840"/>
      <w:pgMar w:top="1440" w:right="1080" w:bottom="1440" w:left="1080" w:header="342"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BE4D3" w14:textId="77777777" w:rsidR="00D90CC2" w:rsidRDefault="00D90CC2">
      <w:r>
        <w:separator/>
      </w:r>
    </w:p>
  </w:endnote>
  <w:endnote w:type="continuationSeparator" w:id="0">
    <w:p w14:paraId="1D0195EA" w14:textId="77777777" w:rsidR="00D90CC2" w:rsidRDefault="00D90CC2">
      <w:r>
        <w:continuationSeparator/>
      </w:r>
    </w:p>
  </w:endnote>
  <w:endnote w:type="continuationNotice" w:id="1">
    <w:p w14:paraId="30E17FED" w14:textId="77777777" w:rsidR="00D90CC2" w:rsidRDefault="00D90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561CC" w14:textId="77777777" w:rsidR="00D90CC2" w:rsidRDefault="00D90CC2">
      <w:r>
        <w:separator/>
      </w:r>
    </w:p>
  </w:footnote>
  <w:footnote w:type="continuationSeparator" w:id="0">
    <w:p w14:paraId="47B4AE92" w14:textId="77777777" w:rsidR="00D90CC2" w:rsidRDefault="00D90CC2">
      <w:r>
        <w:continuationSeparator/>
      </w:r>
    </w:p>
  </w:footnote>
  <w:footnote w:type="continuationNotice" w:id="1">
    <w:p w14:paraId="218F9B5A" w14:textId="77777777" w:rsidR="00D90CC2" w:rsidRDefault="00D90C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3959" w14:textId="77777777" w:rsidR="00DF3EDA" w:rsidRDefault="00B15C37">
    <w:pPr>
      <w:pStyle w:val="Textkrper"/>
      <w:spacing w:line="14" w:lineRule="auto"/>
      <w:rPr>
        <w:sz w:val="20"/>
      </w:rPr>
    </w:pPr>
    <w:r>
      <w:rPr>
        <w:noProof/>
        <w:lang w:val="en-US"/>
      </w:rPr>
      <mc:AlternateContent>
        <mc:Choice Requires="wps">
          <w:drawing>
            <wp:anchor distT="0" distB="0" distL="0" distR="0" simplePos="0" relativeHeight="251658240" behindDoc="1" locked="0" layoutInCell="1" allowOverlap="1" wp14:anchorId="2FC365C5" wp14:editId="762410B4">
              <wp:simplePos x="0" y="0"/>
              <wp:positionH relativeFrom="page">
                <wp:posOffset>241808</wp:posOffset>
              </wp:positionH>
              <wp:positionV relativeFrom="page">
                <wp:posOffset>204850</wp:posOffset>
              </wp:positionV>
              <wp:extent cx="33655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0" cy="152400"/>
                      </a:xfrm>
                      <a:prstGeom prst="rect">
                        <a:avLst/>
                      </a:prstGeom>
                    </wps:spPr>
                    <wps:txbx>
                      <w:txbxContent>
                        <w:p w14:paraId="60A1B6EF" w14:textId="77777777" w:rsidR="00DF3EDA" w:rsidRDefault="00B15C37">
                          <w:pPr>
                            <w:spacing w:line="223" w:lineRule="exact"/>
                            <w:ind w:left="20"/>
                            <w:rPr>
                              <w:rFonts w:ascii="Calibri"/>
                              <w:sz w:val="20"/>
                            </w:rPr>
                          </w:pPr>
                          <w:r>
                            <w:rPr>
                              <w:rFonts w:ascii="Calibri"/>
                              <w:color w:val="0000FF"/>
                              <w:sz w:val="20"/>
                            </w:rPr>
                            <w:t>Public</w:t>
                          </w:r>
                        </w:p>
                      </w:txbxContent>
                    </wps:txbx>
                    <wps:bodyPr wrap="square" lIns="0" tIns="0" rIns="0" bIns="0" rtlCol="0">
                      <a:noAutofit/>
                    </wps:bodyPr>
                  </wps:wsp>
                </a:graphicData>
              </a:graphic>
            </wp:anchor>
          </w:drawing>
        </mc:Choice>
        <mc:Fallback>
          <w:pict>
            <v:shapetype w14:anchorId="2FC365C5" id="_x0000_t202" coordsize="21600,21600" o:spt="202" path="m,l,21600r21600,l21600,xe">
              <v:stroke joinstyle="miter"/>
              <v:path gradientshapeok="t" o:connecttype="rect"/>
            </v:shapetype>
            <v:shape id="Textbox 1" o:spid="_x0000_s1026" type="#_x0000_t202" style="position:absolute;margin-left:19.05pt;margin-top:16.15pt;width:26.5pt;height:1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" filled="f" stroked="f">
              <v:path arrowok="t"/>
              <v:textbox inset="0,0,0,0">
                <w:txbxContent>
                  <w:p w14:paraId="60A1B6EF" w14:textId="77777777" w:rsidR="00DF3EDA" w:rsidRDefault="00B15C37">
                    <w:pPr>
                      <w:spacing w:line="223" w:lineRule="exact"/>
                      <w:ind w:left="20"/>
                      <w:rPr>
                        <w:rFonts w:ascii="Calibri"/>
                        <w:sz w:val="20"/>
                      </w:rPr>
                    </w:pPr>
                    <w:r>
                      <w:rPr>
                        <w:rFonts w:ascii="Calibri"/>
                        <w:color w:val="0000FF"/>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E71F7"/>
    <w:multiLevelType w:val="hybridMultilevel"/>
    <w:tmpl w:val="B41C0574"/>
    <w:lvl w:ilvl="0" w:tplc="A50E845E">
      <w:numFmt w:val="bullet"/>
      <w:lvlText w:val="•"/>
      <w:lvlJc w:val="left"/>
      <w:pPr>
        <w:ind w:left="1080" w:hanging="72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
  <w:rsids>
    <w:rsidRoot w:val="00DF3EDA"/>
    <w:rsid w:val="000025A5"/>
    <w:rsid w:val="00015BF3"/>
    <w:rsid w:val="000372FC"/>
    <w:rsid w:val="00065396"/>
    <w:rsid w:val="0008305E"/>
    <w:rsid w:val="0009136D"/>
    <w:rsid w:val="000D1AAB"/>
    <w:rsid w:val="000D6650"/>
    <w:rsid w:val="000E57F4"/>
    <w:rsid w:val="000F3768"/>
    <w:rsid w:val="000F3854"/>
    <w:rsid w:val="001107BE"/>
    <w:rsid w:val="001254E9"/>
    <w:rsid w:val="0013164E"/>
    <w:rsid w:val="00140CF1"/>
    <w:rsid w:val="00161FBE"/>
    <w:rsid w:val="00180989"/>
    <w:rsid w:val="00186B97"/>
    <w:rsid w:val="001902A1"/>
    <w:rsid w:val="001B59DB"/>
    <w:rsid w:val="001B710E"/>
    <w:rsid w:val="001D4199"/>
    <w:rsid w:val="001E358D"/>
    <w:rsid w:val="002079D7"/>
    <w:rsid w:val="00223B98"/>
    <w:rsid w:val="00233025"/>
    <w:rsid w:val="00233D8C"/>
    <w:rsid w:val="00240373"/>
    <w:rsid w:val="00253B59"/>
    <w:rsid w:val="00266CD2"/>
    <w:rsid w:val="0026787B"/>
    <w:rsid w:val="002A7949"/>
    <w:rsid w:val="002B261D"/>
    <w:rsid w:val="002D4B10"/>
    <w:rsid w:val="002F1263"/>
    <w:rsid w:val="003424CF"/>
    <w:rsid w:val="00362238"/>
    <w:rsid w:val="00362FA8"/>
    <w:rsid w:val="00380BFF"/>
    <w:rsid w:val="00396823"/>
    <w:rsid w:val="003C4141"/>
    <w:rsid w:val="003E6E10"/>
    <w:rsid w:val="004064FE"/>
    <w:rsid w:val="0041269E"/>
    <w:rsid w:val="00440D2E"/>
    <w:rsid w:val="00456092"/>
    <w:rsid w:val="00465E5D"/>
    <w:rsid w:val="00486848"/>
    <w:rsid w:val="00487AD1"/>
    <w:rsid w:val="004A2A23"/>
    <w:rsid w:val="004B24F5"/>
    <w:rsid w:val="004D62CA"/>
    <w:rsid w:val="004F3A7B"/>
    <w:rsid w:val="004F5EBB"/>
    <w:rsid w:val="005055D4"/>
    <w:rsid w:val="005061D7"/>
    <w:rsid w:val="00543263"/>
    <w:rsid w:val="00561FDA"/>
    <w:rsid w:val="0057354D"/>
    <w:rsid w:val="005B02F9"/>
    <w:rsid w:val="005C6E52"/>
    <w:rsid w:val="0060140B"/>
    <w:rsid w:val="006305EA"/>
    <w:rsid w:val="00632643"/>
    <w:rsid w:val="00634801"/>
    <w:rsid w:val="006814FB"/>
    <w:rsid w:val="0068428E"/>
    <w:rsid w:val="006B6023"/>
    <w:rsid w:val="006D31C5"/>
    <w:rsid w:val="006E27D0"/>
    <w:rsid w:val="006E6783"/>
    <w:rsid w:val="007215B7"/>
    <w:rsid w:val="00731025"/>
    <w:rsid w:val="0078233A"/>
    <w:rsid w:val="00782F61"/>
    <w:rsid w:val="007848B7"/>
    <w:rsid w:val="0079076E"/>
    <w:rsid w:val="007C3160"/>
    <w:rsid w:val="007F6E4D"/>
    <w:rsid w:val="008100DE"/>
    <w:rsid w:val="00832D4B"/>
    <w:rsid w:val="008349A7"/>
    <w:rsid w:val="00843008"/>
    <w:rsid w:val="0084635E"/>
    <w:rsid w:val="008B3763"/>
    <w:rsid w:val="008C0DFD"/>
    <w:rsid w:val="008E0721"/>
    <w:rsid w:val="00920032"/>
    <w:rsid w:val="00920D23"/>
    <w:rsid w:val="0095070E"/>
    <w:rsid w:val="009A3AA3"/>
    <w:rsid w:val="009A576D"/>
    <w:rsid w:val="009B02A3"/>
    <w:rsid w:val="009D1D9C"/>
    <w:rsid w:val="009D5330"/>
    <w:rsid w:val="009F1536"/>
    <w:rsid w:val="009F173B"/>
    <w:rsid w:val="009F7C72"/>
    <w:rsid w:val="00A2457C"/>
    <w:rsid w:val="00A6081E"/>
    <w:rsid w:val="00A66A94"/>
    <w:rsid w:val="00B14A94"/>
    <w:rsid w:val="00B15C37"/>
    <w:rsid w:val="00B75D64"/>
    <w:rsid w:val="00BA0861"/>
    <w:rsid w:val="00BA29E0"/>
    <w:rsid w:val="00BC0E0D"/>
    <w:rsid w:val="00BD46EE"/>
    <w:rsid w:val="00C228F3"/>
    <w:rsid w:val="00C37E62"/>
    <w:rsid w:val="00C71AC2"/>
    <w:rsid w:val="00C71E56"/>
    <w:rsid w:val="00CA0C5A"/>
    <w:rsid w:val="00CB6520"/>
    <w:rsid w:val="00CD3111"/>
    <w:rsid w:val="00D14336"/>
    <w:rsid w:val="00D17A99"/>
    <w:rsid w:val="00D36DCF"/>
    <w:rsid w:val="00D415DC"/>
    <w:rsid w:val="00D5172E"/>
    <w:rsid w:val="00D7342A"/>
    <w:rsid w:val="00D73FDC"/>
    <w:rsid w:val="00D87BCC"/>
    <w:rsid w:val="00D90CC2"/>
    <w:rsid w:val="00DC787E"/>
    <w:rsid w:val="00DF3EDA"/>
    <w:rsid w:val="00E225E6"/>
    <w:rsid w:val="00E274A3"/>
    <w:rsid w:val="00E30051"/>
    <w:rsid w:val="00E35965"/>
    <w:rsid w:val="00E9055B"/>
    <w:rsid w:val="00EC341A"/>
    <w:rsid w:val="00ED3989"/>
    <w:rsid w:val="00EF0E43"/>
    <w:rsid w:val="00F0666C"/>
    <w:rsid w:val="00F120BF"/>
    <w:rsid w:val="00F16C89"/>
    <w:rsid w:val="00F43C23"/>
    <w:rsid w:val="00FF49E2"/>
    <w:rsid w:val="0F5DE18C"/>
    <w:rsid w:val="2A037C91"/>
    <w:rsid w:val="32D12717"/>
    <w:rsid w:val="3D2237D0"/>
    <w:rsid w:val="5974A6AD"/>
    <w:rsid w:val="6B2D635D"/>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D3151"/>
  <w15:docId w15:val="{EBCE5B81-23CA-4E06-B218-E7D87F18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157"/>
      <w:ind w:left="120"/>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Titel">
    <w:name w:val="Title"/>
    <w:basedOn w:val="Standard"/>
    <w:uiPriority w:val="10"/>
    <w:qFormat/>
    <w:pPr>
      <w:ind w:right="657"/>
      <w:jc w:val="center"/>
    </w:pPr>
    <w:rPr>
      <w:b/>
      <w:bCs/>
      <w:sz w:val="28"/>
      <w:szCs w:val="28"/>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186B97"/>
    <w:pPr>
      <w:tabs>
        <w:tab w:val="center" w:pos="4536"/>
        <w:tab w:val="right" w:pos="9072"/>
      </w:tabs>
    </w:pPr>
  </w:style>
  <w:style w:type="character" w:customStyle="1" w:styleId="KopfzeileZchn">
    <w:name w:val="Kopfzeile Zchn"/>
    <w:basedOn w:val="Absatz-Standardschriftart"/>
    <w:link w:val="Kopfzeile"/>
    <w:uiPriority w:val="99"/>
    <w:rsid w:val="00186B97"/>
    <w:rPr>
      <w:rFonts w:ascii="Arial" w:eastAsia="Arial" w:hAnsi="Arial" w:cs="Arial"/>
    </w:rPr>
  </w:style>
  <w:style w:type="paragraph" w:styleId="Fuzeile">
    <w:name w:val="footer"/>
    <w:basedOn w:val="Standard"/>
    <w:link w:val="FuzeileZchn"/>
    <w:uiPriority w:val="99"/>
    <w:unhideWhenUsed/>
    <w:rsid w:val="00186B97"/>
    <w:pPr>
      <w:tabs>
        <w:tab w:val="center" w:pos="4536"/>
        <w:tab w:val="right" w:pos="9072"/>
      </w:tabs>
    </w:pPr>
  </w:style>
  <w:style w:type="character" w:customStyle="1" w:styleId="FuzeileZchn">
    <w:name w:val="Fußzeile Zchn"/>
    <w:basedOn w:val="Absatz-Standardschriftart"/>
    <w:link w:val="Fuzeile"/>
    <w:uiPriority w:val="99"/>
    <w:rsid w:val="00186B9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473527">
      <w:bodyDiv w:val="1"/>
      <w:marLeft w:val="0"/>
      <w:marRight w:val="0"/>
      <w:marTop w:val="0"/>
      <w:marBottom w:val="0"/>
      <w:divBdr>
        <w:top w:val="none" w:sz="0" w:space="0" w:color="auto"/>
        <w:left w:val="none" w:sz="0" w:space="0" w:color="auto"/>
        <w:bottom w:val="none" w:sz="0" w:space="0" w:color="auto"/>
        <w:right w:val="none" w:sz="0" w:space="0" w:color="auto"/>
      </w:divBdr>
      <w:divsChild>
        <w:div w:id="13316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5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0716175">
      <w:bodyDiv w:val="1"/>
      <w:marLeft w:val="0"/>
      <w:marRight w:val="0"/>
      <w:marTop w:val="0"/>
      <w:marBottom w:val="0"/>
      <w:divBdr>
        <w:top w:val="none" w:sz="0" w:space="0" w:color="auto"/>
        <w:left w:val="none" w:sz="0" w:space="0" w:color="auto"/>
        <w:bottom w:val="none" w:sz="0" w:space="0" w:color="auto"/>
        <w:right w:val="none" w:sz="0" w:space="0" w:color="auto"/>
      </w:divBdr>
      <w:divsChild>
        <w:div w:id="403189114">
          <w:marLeft w:val="0"/>
          <w:marRight w:val="0"/>
          <w:marTop w:val="0"/>
          <w:marBottom w:val="0"/>
          <w:divBdr>
            <w:top w:val="none" w:sz="0" w:space="0" w:color="auto"/>
            <w:left w:val="none" w:sz="0" w:space="0" w:color="auto"/>
            <w:bottom w:val="none" w:sz="0" w:space="0" w:color="auto"/>
            <w:right w:val="none" w:sz="0" w:space="0" w:color="auto"/>
          </w:divBdr>
        </w:div>
        <w:div w:id="776949039">
          <w:marLeft w:val="0"/>
          <w:marRight w:val="0"/>
          <w:marTop w:val="0"/>
          <w:marBottom w:val="0"/>
          <w:divBdr>
            <w:top w:val="none" w:sz="0" w:space="0" w:color="auto"/>
            <w:left w:val="none" w:sz="0" w:space="0" w:color="auto"/>
            <w:bottom w:val="none" w:sz="0" w:space="0" w:color="auto"/>
            <w:right w:val="none" w:sz="0" w:space="0" w:color="auto"/>
          </w:divBdr>
        </w:div>
      </w:divsChild>
    </w:div>
    <w:div w:id="802625888">
      <w:bodyDiv w:val="1"/>
      <w:marLeft w:val="0"/>
      <w:marRight w:val="0"/>
      <w:marTop w:val="0"/>
      <w:marBottom w:val="0"/>
      <w:divBdr>
        <w:top w:val="none" w:sz="0" w:space="0" w:color="auto"/>
        <w:left w:val="none" w:sz="0" w:space="0" w:color="auto"/>
        <w:bottom w:val="none" w:sz="0" w:space="0" w:color="auto"/>
        <w:right w:val="none" w:sz="0" w:space="0" w:color="auto"/>
      </w:divBdr>
      <w:divsChild>
        <w:div w:id="116798872">
          <w:marLeft w:val="0"/>
          <w:marRight w:val="0"/>
          <w:marTop w:val="0"/>
          <w:marBottom w:val="0"/>
          <w:divBdr>
            <w:top w:val="none" w:sz="0" w:space="0" w:color="auto"/>
            <w:left w:val="none" w:sz="0" w:space="0" w:color="auto"/>
            <w:bottom w:val="none" w:sz="0" w:space="0" w:color="auto"/>
            <w:right w:val="none" w:sz="0" w:space="0" w:color="auto"/>
          </w:divBdr>
        </w:div>
        <w:div w:id="546339389">
          <w:marLeft w:val="0"/>
          <w:marRight w:val="0"/>
          <w:marTop w:val="0"/>
          <w:marBottom w:val="0"/>
          <w:divBdr>
            <w:top w:val="none" w:sz="0" w:space="0" w:color="auto"/>
            <w:left w:val="none" w:sz="0" w:space="0" w:color="auto"/>
            <w:bottom w:val="none" w:sz="0" w:space="0" w:color="auto"/>
            <w:right w:val="none" w:sz="0" w:space="0" w:color="auto"/>
          </w:divBdr>
        </w:div>
      </w:divsChild>
    </w:div>
    <w:div w:id="1025524163">
      <w:bodyDiv w:val="1"/>
      <w:marLeft w:val="0"/>
      <w:marRight w:val="0"/>
      <w:marTop w:val="0"/>
      <w:marBottom w:val="0"/>
      <w:divBdr>
        <w:top w:val="none" w:sz="0" w:space="0" w:color="auto"/>
        <w:left w:val="none" w:sz="0" w:space="0" w:color="auto"/>
        <w:bottom w:val="none" w:sz="0" w:space="0" w:color="auto"/>
        <w:right w:val="none" w:sz="0" w:space="0" w:color="auto"/>
      </w:divBdr>
      <w:divsChild>
        <w:div w:id="841509830">
          <w:marLeft w:val="0"/>
          <w:marRight w:val="0"/>
          <w:marTop w:val="0"/>
          <w:marBottom w:val="0"/>
          <w:divBdr>
            <w:top w:val="none" w:sz="0" w:space="0" w:color="auto"/>
            <w:left w:val="none" w:sz="0" w:space="0" w:color="auto"/>
            <w:bottom w:val="none" w:sz="0" w:space="0" w:color="auto"/>
            <w:right w:val="none" w:sz="0" w:space="0" w:color="auto"/>
          </w:divBdr>
        </w:div>
        <w:div w:id="1431465706">
          <w:marLeft w:val="0"/>
          <w:marRight w:val="0"/>
          <w:marTop w:val="0"/>
          <w:marBottom w:val="0"/>
          <w:divBdr>
            <w:top w:val="none" w:sz="0" w:space="0" w:color="auto"/>
            <w:left w:val="none" w:sz="0" w:space="0" w:color="auto"/>
            <w:bottom w:val="none" w:sz="0" w:space="0" w:color="auto"/>
            <w:right w:val="none" w:sz="0" w:space="0" w:color="auto"/>
          </w:divBdr>
        </w:div>
      </w:divsChild>
    </w:div>
    <w:div w:id="1125393692">
      <w:bodyDiv w:val="1"/>
      <w:marLeft w:val="0"/>
      <w:marRight w:val="0"/>
      <w:marTop w:val="0"/>
      <w:marBottom w:val="0"/>
      <w:divBdr>
        <w:top w:val="none" w:sz="0" w:space="0" w:color="auto"/>
        <w:left w:val="none" w:sz="0" w:space="0" w:color="auto"/>
        <w:bottom w:val="none" w:sz="0" w:space="0" w:color="auto"/>
        <w:right w:val="none" w:sz="0" w:space="0" w:color="auto"/>
      </w:divBdr>
      <w:divsChild>
        <w:div w:id="110904139">
          <w:marLeft w:val="0"/>
          <w:marRight w:val="0"/>
          <w:marTop w:val="0"/>
          <w:marBottom w:val="0"/>
          <w:divBdr>
            <w:top w:val="none" w:sz="0" w:space="0" w:color="auto"/>
            <w:left w:val="none" w:sz="0" w:space="0" w:color="auto"/>
            <w:bottom w:val="none" w:sz="0" w:space="0" w:color="auto"/>
            <w:right w:val="none" w:sz="0" w:space="0" w:color="auto"/>
          </w:divBdr>
        </w:div>
        <w:div w:id="575285013">
          <w:marLeft w:val="0"/>
          <w:marRight w:val="0"/>
          <w:marTop w:val="0"/>
          <w:marBottom w:val="0"/>
          <w:divBdr>
            <w:top w:val="none" w:sz="0" w:space="0" w:color="auto"/>
            <w:left w:val="none" w:sz="0" w:space="0" w:color="auto"/>
            <w:bottom w:val="none" w:sz="0" w:space="0" w:color="auto"/>
            <w:right w:val="none" w:sz="0" w:space="0" w:color="auto"/>
          </w:divBdr>
        </w:div>
        <w:div w:id="1778064488">
          <w:marLeft w:val="0"/>
          <w:marRight w:val="0"/>
          <w:marTop w:val="0"/>
          <w:marBottom w:val="0"/>
          <w:divBdr>
            <w:top w:val="none" w:sz="0" w:space="0" w:color="auto"/>
            <w:left w:val="none" w:sz="0" w:space="0" w:color="auto"/>
            <w:bottom w:val="none" w:sz="0" w:space="0" w:color="auto"/>
            <w:right w:val="none" w:sz="0" w:space="0" w:color="auto"/>
          </w:divBdr>
        </w:div>
      </w:divsChild>
    </w:div>
    <w:div w:id="1483960764">
      <w:bodyDiv w:val="1"/>
      <w:marLeft w:val="0"/>
      <w:marRight w:val="0"/>
      <w:marTop w:val="0"/>
      <w:marBottom w:val="0"/>
      <w:divBdr>
        <w:top w:val="none" w:sz="0" w:space="0" w:color="auto"/>
        <w:left w:val="none" w:sz="0" w:space="0" w:color="auto"/>
        <w:bottom w:val="none" w:sz="0" w:space="0" w:color="auto"/>
        <w:right w:val="none" w:sz="0" w:space="0" w:color="auto"/>
      </w:divBdr>
      <w:divsChild>
        <w:div w:id="1286808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815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402797">
      <w:bodyDiv w:val="1"/>
      <w:marLeft w:val="0"/>
      <w:marRight w:val="0"/>
      <w:marTop w:val="0"/>
      <w:marBottom w:val="0"/>
      <w:divBdr>
        <w:top w:val="none" w:sz="0" w:space="0" w:color="auto"/>
        <w:left w:val="none" w:sz="0" w:space="0" w:color="auto"/>
        <w:bottom w:val="none" w:sz="0" w:space="0" w:color="auto"/>
        <w:right w:val="none" w:sz="0" w:space="0" w:color="auto"/>
      </w:divBdr>
      <w:divsChild>
        <w:div w:id="224493117">
          <w:marLeft w:val="0"/>
          <w:marRight w:val="0"/>
          <w:marTop w:val="0"/>
          <w:marBottom w:val="0"/>
          <w:divBdr>
            <w:top w:val="none" w:sz="0" w:space="0" w:color="auto"/>
            <w:left w:val="none" w:sz="0" w:space="0" w:color="auto"/>
            <w:bottom w:val="none" w:sz="0" w:space="0" w:color="auto"/>
            <w:right w:val="none" w:sz="0" w:space="0" w:color="auto"/>
          </w:divBdr>
        </w:div>
        <w:div w:id="559630905">
          <w:marLeft w:val="0"/>
          <w:marRight w:val="0"/>
          <w:marTop w:val="0"/>
          <w:marBottom w:val="0"/>
          <w:divBdr>
            <w:top w:val="none" w:sz="0" w:space="0" w:color="auto"/>
            <w:left w:val="none" w:sz="0" w:space="0" w:color="auto"/>
            <w:bottom w:val="none" w:sz="0" w:space="0" w:color="auto"/>
            <w:right w:val="none" w:sz="0" w:space="0" w:color="auto"/>
          </w:divBdr>
        </w:div>
        <w:div w:id="681510188">
          <w:marLeft w:val="0"/>
          <w:marRight w:val="0"/>
          <w:marTop w:val="0"/>
          <w:marBottom w:val="0"/>
          <w:divBdr>
            <w:top w:val="none" w:sz="0" w:space="0" w:color="auto"/>
            <w:left w:val="none" w:sz="0" w:space="0" w:color="auto"/>
            <w:bottom w:val="none" w:sz="0" w:space="0" w:color="auto"/>
            <w:right w:val="none" w:sz="0" w:space="0" w:color="auto"/>
          </w:divBdr>
        </w:div>
      </w:divsChild>
    </w:div>
    <w:div w:id="1997873232">
      <w:bodyDiv w:val="1"/>
      <w:marLeft w:val="0"/>
      <w:marRight w:val="0"/>
      <w:marTop w:val="0"/>
      <w:marBottom w:val="0"/>
      <w:divBdr>
        <w:top w:val="none" w:sz="0" w:space="0" w:color="auto"/>
        <w:left w:val="none" w:sz="0" w:space="0" w:color="auto"/>
        <w:bottom w:val="none" w:sz="0" w:space="0" w:color="auto"/>
        <w:right w:val="none" w:sz="0" w:space="0" w:color="auto"/>
      </w:divBdr>
      <w:divsChild>
        <w:div w:id="915745436">
          <w:marLeft w:val="0"/>
          <w:marRight w:val="0"/>
          <w:marTop w:val="0"/>
          <w:marBottom w:val="0"/>
          <w:divBdr>
            <w:top w:val="none" w:sz="0" w:space="0" w:color="auto"/>
            <w:left w:val="none" w:sz="0" w:space="0" w:color="auto"/>
            <w:bottom w:val="none" w:sz="0" w:space="0" w:color="auto"/>
            <w:right w:val="none" w:sz="0" w:space="0" w:color="auto"/>
          </w:divBdr>
        </w:div>
        <w:div w:id="11963084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1632</Words>
  <Characters>9308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Komatsu Ameica Corp</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Floyd Jr.</dc:creator>
  <cp:keywords/>
  <dc:description/>
  <cp:lastModifiedBy>User05</cp:lastModifiedBy>
  <cp:revision>58</cp:revision>
  <cp:lastPrinted>2025-02-18T06:05:00Z</cp:lastPrinted>
  <dcterms:created xsi:type="dcterms:W3CDTF">2025-01-31T05:49:00Z</dcterms:created>
  <dcterms:modified xsi:type="dcterms:W3CDTF">2025-02-18T06:06:00Z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FontProps">
    <vt:lpwstr>#0000ff,10,Calibri</vt:lpwstr>
  </property>
  <property fmtid="{D5CDD505-2E9C-101B-9397-08002B2CF9AE}" pid="3" name="ClassificationContentMarkingHeaderShapeIds">
    <vt:lpwstr>84f0b5e,5a1f902e,6d9b4bd0</vt:lpwstr>
  </property>
  <property fmtid="{D5CDD505-2E9C-101B-9397-08002B2CF9AE}" pid="4" name="ClassificationContentMarkingHeaderText">
    <vt:lpwstr>Public</vt:lpwstr>
  </property>
  <property fmtid="{D5CDD505-2E9C-101B-9397-08002B2CF9AE}" pid="5" name="ContentTypeId">
    <vt:lpwstr>0x01010032A73538AB077E46819BEBC6E8C97575</vt:lpwstr>
  </property>
  <property fmtid="{D5CDD505-2E9C-101B-9397-08002B2CF9AE}" pid="6" name="Created">
    <vt:filetime>2024-12-19T00:00:00Z</vt:filetime>
  </property>
  <property fmtid="{D5CDD505-2E9C-101B-9397-08002B2CF9AE}" pid="7" name="Creator">
    <vt:lpwstr>Acrobat PDFMaker 24 for Word</vt:lpwstr>
  </property>
  <property fmtid="{D5CDD505-2E9C-101B-9397-08002B2CF9AE}" pid="8" name="LastSaved">
    <vt:filetime>2025-01-30T00:00:00Z</vt:filetime>
  </property>
  <property fmtid="{D5CDD505-2E9C-101B-9397-08002B2CF9AE}" pid="9" name="MSIP_Label_734892e5-f1bf-4de3-821b-0faa98b172a4_ActionId">
    <vt:lpwstr>51302dce-d070-4705-b79b-cb978c8ffc30</vt:lpwstr>
  </property>
  <property fmtid="{D5CDD505-2E9C-101B-9397-08002B2CF9AE}" pid="10" name="MSIP_Label_734892e5-f1bf-4de3-821b-0faa98b172a4_ContentBits">
    <vt:lpwstr>1</vt:lpwstr>
  </property>
  <property fmtid="{D5CDD505-2E9C-101B-9397-08002B2CF9AE}" pid="11" name="MSIP_Label_734892e5-f1bf-4de3-821b-0faa98b172a4_Enabled">
    <vt:lpwstr>true</vt:lpwstr>
  </property>
  <property fmtid="{D5CDD505-2E9C-101B-9397-08002B2CF9AE}" pid="12" name="MSIP_Label_734892e5-f1bf-4de3-821b-0faa98b172a4_Method">
    <vt:lpwstr>Standard</vt:lpwstr>
  </property>
  <property fmtid="{D5CDD505-2E9C-101B-9397-08002B2CF9AE}" pid="13" name="MSIP_Label_734892e5-f1bf-4de3-821b-0faa98b172a4_Name">
    <vt:lpwstr>Label</vt:lpwstr>
  </property>
  <property fmtid="{D5CDD505-2E9C-101B-9397-08002B2CF9AE}" pid="14" name="MSIP_Label_734892e5-f1bf-4de3-821b-0faa98b172a4_SetDate">
    <vt:lpwstr>2023-04-25T11:35:22Z</vt:lpwstr>
  </property>
  <property fmtid="{D5CDD505-2E9C-101B-9397-08002B2CF9AE}" pid="15" name="MSIP_Label_734892e5-f1bf-4de3-821b-0faa98b172a4_SiteId">
    <vt:lpwstr>000f99b4-4d5c-4fe0-83b1-a1254876c5ec</vt:lpwstr>
  </property>
  <property fmtid="{D5CDD505-2E9C-101B-9397-08002B2CF9AE}" pid="16" name="Producer">
    <vt:lpwstr>Adobe PDF Library 24.3.144</vt:lpwstr>
  </property>
  <property fmtid="{D5CDD505-2E9C-101B-9397-08002B2CF9AE}" pid="17" name="SourceModified">
    <vt:lpwstr>D:20241219095840</vt:lpwstr>
  </property>
</Properties>
</file>